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82F3" w14:textId="28DA1C2D" w:rsidR="00E227EE" w:rsidRDefault="003D5C44" w:rsidP="0087488E">
      <w:pPr>
        <w:pStyle w:val="Level1"/>
        <w:numPr>
          <w:ilvl w:val="0"/>
          <w:numId w:val="0"/>
        </w:numPr>
      </w:pPr>
      <w:r w:rsidRPr="00C717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8717F" wp14:editId="69E847FF">
                <wp:simplePos x="0" y="0"/>
                <wp:positionH relativeFrom="column">
                  <wp:posOffset>-909955</wp:posOffset>
                </wp:positionH>
                <wp:positionV relativeFrom="paragraph">
                  <wp:posOffset>-924722</wp:posOffset>
                </wp:positionV>
                <wp:extent cx="7591425" cy="9048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904875"/>
                        </a:xfrm>
                        <a:prstGeom prst="rect">
                          <a:avLst/>
                        </a:prstGeom>
                        <a:solidFill>
                          <a:srgbClr val="A1D8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BB0E8" w14:textId="77777777" w:rsidR="003D5C44" w:rsidRPr="00BE064C" w:rsidRDefault="003D5C44" w:rsidP="003D5C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E064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Template action plan for </w:t>
                            </w:r>
                            <w:r w:rsidR="00B6117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molecular radiotherapy</w:t>
                            </w:r>
                            <w:r w:rsidRPr="00BE064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service 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8717F" id="Rectangle 3" o:spid="_x0000_s1026" style="position:absolute;left:0;text-align:left;margin-left:-71.65pt;margin-top:-72.8pt;width:597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" fillcolor="#a1d862" stroked="f" strokeweight="2pt">
                <v:textbox>
                  <w:txbxContent>
                    <w:p w14:paraId="341BB0E8" w14:textId="77777777" w:rsidR="003D5C44" w:rsidRPr="00BE064C" w:rsidRDefault="003D5C44" w:rsidP="003D5C4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E064C">
                        <w:rPr>
                          <w:rFonts w:ascii="Arial" w:hAnsi="Arial" w:cs="Arial"/>
                          <w:b/>
                          <w:sz w:val="32"/>
                        </w:rPr>
                        <w:t xml:space="preserve">Template action plan for </w:t>
                      </w:r>
                      <w:r w:rsidR="00B61171">
                        <w:rPr>
                          <w:rFonts w:ascii="Arial" w:hAnsi="Arial" w:cs="Arial"/>
                          <w:b/>
                          <w:sz w:val="32"/>
                        </w:rPr>
                        <w:t>molecular radiotherapy</w:t>
                      </w:r>
                      <w:r w:rsidRPr="00BE064C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service implementation</w:t>
                      </w:r>
                    </w:p>
                  </w:txbxContent>
                </v:textbox>
              </v:rect>
            </w:pict>
          </mc:Fallback>
        </mc:AlternateContent>
      </w:r>
      <w:r w:rsidR="005C5BDD" w:rsidRPr="00C71769">
        <w:t>This action plan is provided as a template only and should be adapted for local use</w:t>
      </w:r>
      <w:r w:rsidR="003E06F8" w:rsidRPr="00C71769">
        <w:t xml:space="preserve"> with further actions as relevant to the specific service implementation initiative(s). The template includes actions relevant to </w:t>
      </w:r>
      <w:r w:rsidR="00CA4316">
        <w:t>the</w:t>
      </w:r>
      <w:r w:rsidR="003E06F8" w:rsidRPr="00C71769">
        <w:t xml:space="preserve"> service options included in this toolkit. Where actions are specific to one pathway only, this is clearly indicated</w:t>
      </w:r>
      <w:r w:rsidR="0087488E">
        <w:t>.</w:t>
      </w:r>
    </w:p>
    <w:p w14:paraId="5277C263" w14:textId="77777777" w:rsidR="0087488E" w:rsidRPr="00C71769" w:rsidRDefault="0087488E" w:rsidP="0087488E">
      <w:pPr>
        <w:pStyle w:val="Level1"/>
        <w:numPr>
          <w:ilvl w:val="0"/>
          <w:numId w:val="0"/>
        </w:numPr>
      </w:pPr>
    </w:p>
    <w:tbl>
      <w:tblPr>
        <w:tblStyle w:val="TableGrid"/>
        <w:tblW w:w="924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28"/>
        <w:gridCol w:w="1701"/>
        <w:gridCol w:w="1276"/>
        <w:gridCol w:w="1337"/>
      </w:tblGrid>
      <w:tr w:rsidR="005C5BDD" w:rsidRPr="00C71769" w14:paraId="08F33071" w14:textId="77777777" w:rsidTr="008B5255">
        <w:trPr>
          <w:trHeight w:val="483"/>
        </w:trPr>
        <w:tc>
          <w:tcPr>
            <w:tcW w:w="4928" w:type="dxa"/>
            <w:shd w:val="clear" w:color="auto" w:fill="E47923" w:themeFill="accent2"/>
            <w:vAlign w:val="center"/>
          </w:tcPr>
          <w:p w14:paraId="38269F3C" w14:textId="77777777" w:rsidR="005C5BDD" w:rsidRPr="00C71769" w:rsidRDefault="005C5BDD" w:rsidP="00B0366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1701" w:type="dxa"/>
            <w:shd w:val="clear" w:color="auto" w:fill="E47923" w:themeFill="accent2"/>
            <w:vAlign w:val="center"/>
          </w:tcPr>
          <w:p w14:paraId="3CB79D69" w14:textId="77777777" w:rsidR="005C5BDD" w:rsidRPr="00C71769" w:rsidRDefault="005C5BDD" w:rsidP="00B0366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Responsibility</w:t>
            </w:r>
          </w:p>
        </w:tc>
        <w:tc>
          <w:tcPr>
            <w:tcW w:w="1276" w:type="dxa"/>
            <w:shd w:val="clear" w:color="auto" w:fill="E47923" w:themeFill="accent2"/>
            <w:vAlign w:val="center"/>
          </w:tcPr>
          <w:p w14:paraId="6B1E8C19" w14:textId="77777777" w:rsidR="005C5BDD" w:rsidRPr="00C71769" w:rsidRDefault="005C5BDD" w:rsidP="00B0366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Due date</w:t>
            </w:r>
          </w:p>
        </w:tc>
        <w:tc>
          <w:tcPr>
            <w:tcW w:w="1337" w:type="dxa"/>
            <w:shd w:val="clear" w:color="auto" w:fill="E47923" w:themeFill="accent2"/>
            <w:vAlign w:val="center"/>
          </w:tcPr>
          <w:p w14:paraId="0DF19BD0" w14:textId="77777777" w:rsidR="005C5BDD" w:rsidRPr="00C71769" w:rsidRDefault="005C5BDD" w:rsidP="00B0366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completed</w:t>
            </w:r>
          </w:p>
        </w:tc>
      </w:tr>
      <w:tr w:rsidR="005C5BDD" w:rsidRPr="00C71769" w14:paraId="3A04513A" w14:textId="77777777" w:rsidTr="008B5255">
        <w:tc>
          <w:tcPr>
            <w:tcW w:w="9242" w:type="dxa"/>
            <w:gridSpan w:val="4"/>
            <w:shd w:val="clear" w:color="auto" w:fill="F9E3D2" w:themeFill="accent2" w:themeFillTint="33"/>
          </w:tcPr>
          <w:p w14:paraId="7496032A" w14:textId="77777777" w:rsidR="005C5BDD" w:rsidRPr="00C71769" w:rsidRDefault="005C5BDD" w:rsidP="00B0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sz w:val="20"/>
                <w:szCs w:val="20"/>
              </w:rPr>
              <w:t>Project initiation and stakeholder engagement</w:t>
            </w:r>
          </w:p>
        </w:tc>
      </w:tr>
      <w:tr w:rsidR="005C5BDD" w:rsidRPr="00C71769" w14:paraId="28AE7F23" w14:textId="77777777" w:rsidTr="008B5255">
        <w:tc>
          <w:tcPr>
            <w:tcW w:w="4928" w:type="dxa"/>
          </w:tcPr>
          <w:p w14:paraId="52ACF85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Confirm stakeholder involvement, make contact and track responses</w:t>
            </w:r>
          </w:p>
        </w:tc>
        <w:tc>
          <w:tcPr>
            <w:tcW w:w="1701" w:type="dxa"/>
          </w:tcPr>
          <w:p w14:paraId="50C0B68A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7B32A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A10FC5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0DAF844D" w14:textId="77777777" w:rsidTr="008B5255">
        <w:tc>
          <w:tcPr>
            <w:tcW w:w="4928" w:type="dxa"/>
          </w:tcPr>
          <w:p w14:paraId="49502526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Organise kick off meeting with project team</w:t>
            </w:r>
          </w:p>
        </w:tc>
        <w:tc>
          <w:tcPr>
            <w:tcW w:w="1701" w:type="dxa"/>
          </w:tcPr>
          <w:p w14:paraId="22AE0EE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F781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72DA8B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1389E6DE" w14:textId="77777777" w:rsidTr="008B5255">
        <w:tc>
          <w:tcPr>
            <w:tcW w:w="4928" w:type="dxa"/>
          </w:tcPr>
          <w:p w14:paraId="21733A71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Assign a project manager</w:t>
            </w:r>
          </w:p>
        </w:tc>
        <w:tc>
          <w:tcPr>
            <w:tcW w:w="1701" w:type="dxa"/>
          </w:tcPr>
          <w:p w14:paraId="5C95CAE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6EA0B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D9DA32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08F29AF5" w14:textId="77777777" w:rsidTr="008B5255">
        <w:tc>
          <w:tcPr>
            <w:tcW w:w="4928" w:type="dxa"/>
          </w:tcPr>
          <w:p w14:paraId="2C6A8D3E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Agree project scope</w:t>
            </w:r>
          </w:p>
        </w:tc>
        <w:tc>
          <w:tcPr>
            <w:tcW w:w="1701" w:type="dxa"/>
          </w:tcPr>
          <w:p w14:paraId="0EB95F0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7EC79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2BC9D7D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301BF673" w14:textId="77777777" w:rsidTr="008B5255">
        <w:tc>
          <w:tcPr>
            <w:tcW w:w="4928" w:type="dxa"/>
          </w:tcPr>
          <w:p w14:paraId="5E2F549C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Map current treatment/patient pathway</w:t>
            </w:r>
          </w:p>
        </w:tc>
        <w:tc>
          <w:tcPr>
            <w:tcW w:w="1701" w:type="dxa"/>
          </w:tcPr>
          <w:p w14:paraId="58CDD9E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E89ED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06E3CB6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15EFE9BA" w14:textId="77777777" w:rsidTr="008B5255">
        <w:tc>
          <w:tcPr>
            <w:tcW w:w="4928" w:type="dxa"/>
          </w:tcPr>
          <w:p w14:paraId="3BCA5592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Plan service evaluation and data collection</w:t>
            </w:r>
          </w:p>
        </w:tc>
        <w:tc>
          <w:tcPr>
            <w:tcW w:w="1701" w:type="dxa"/>
          </w:tcPr>
          <w:p w14:paraId="5C4199E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BB1BC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4254C6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1E6" w:rsidRPr="00C71769" w14:paraId="459D4E2F" w14:textId="77777777" w:rsidTr="008B5255">
        <w:tc>
          <w:tcPr>
            <w:tcW w:w="4928" w:type="dxa"/>
          </w:tcPr>
          <w:p w14:paraId="2FE638CC" w14:textId="77777777" w:rsidR="003751E6" w:rsidRPr="00C71769" w:rsidRDefault="003751E6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Stakeholder consultation (NHS colleagues [in-Trust or external], and patients)</w:t>
            </w:r>
          </w:p>
        </w:tc>
        <w:tc>
          <w:tcPr>
            <w:tcW w:w="1701" w:type="dxa"/>
          </w:tcPr>
          <w:p w14:paraId="2E1DB4BD" w14:textId="77777777" w:rsidR="003751E6" w:rsidRPr="00C71769" w:rsidRDefault="003751E6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B8D34" w14:textId="77777777" w:rsidR="003751E6" w:rsidRPr="00C71769" w:rsidRDefault="003751E6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454D5DE" w14:textId="77777777" w:rsidR="003751E6" w:rsidRPr="00C71769" w:rsidRDefault="003751E6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46E8CF4A" w14:textId="77777777" w:rsidTr="008B5255">
        <w:tc>
          <w:tcPr>
            <w:tcW w:w="4928" w:type="dxa"/>
          </w:tcPr>
          <w:p w14:paraId="3ECD452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Contact example Trusts to gain advice/share best practice (e.g. obtain draft SOPs, reports, and service evaluation forms etc)</w:t>
            </w:r>
          </w:p>
        </w:tc>
        <w:tc>
          <w:tcPr>
            <w:tcW w:w="1701" w:type="dxa"/>
          </w:tcPr>
          <w:p w14:paraId="63E3C2F6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BB3B9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0EB1DF3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7F68BE41" w14:textId="77777777" w:rsidTr="008B5255">
        <w:tc>
          <w:tcPr>
            <w:tcW w:w="9242" w:type="dxa"/>
            <w:gridSpan w:val="4"/>
            <w:shd w:val="clear" w:color="auto" w:fill="F9E3D2" w:themeFill="accent2" w:themeFillTint="33"/>
          </w:tcPr>
          <w:p w14:paraId="6C6525D1" w14:textId="77777777" w:rsidR="005C5BDD" w:rsidRPr="00C71769" w:rsidRDefault="005C5BDD" w:rsidP="00B0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sz w:val="20"/>
                <w:szCs w:val="20"/>
              </w:rPr>
              <w:t>Service evaluation and data collection</w:t>
            </w:r>
          </w:p>
        </w:tc>
      </w:tr>
      <w:tr w:rsidR="005C5BDD" w:rsidRPr="00C71769" w14:paraId="5EF32256" w14:textId="77777777" w:rsidTr="008B5255">
        <w:tc>
          <w:tcPr>
            <w:tcW w:w="4928" w:type="dxa"/>
          </w:tcPr>
          <w:p w14:paraId="7057C337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Finalise project plan, gain relevant local approval and collect data</w:t>
            </w:r>
          </w:p>
        </w:tc>
        <w:tc>
          <w:tcPr>
            <w:tcW w:w="1701" w:type="dxa"/>
          </w:tcPr>
          <w:p w14:paraId="71E8FBB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0D29CB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E091EE6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349AF8F3" w14:textId="77777777" w:rsidTr="008B5255">
        <w:tc>
          <w:tcPr>
            <w:tcW w:w="4928" w:type="dxa"/>
          </w:tcPr>
          <w:p w14:paraId="307933B5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Evaluation metric 1</w:t>
            </w:r>
          </w:p>
        </w:tc>
        <w:tc>
          <w:tcPr>
            <w:tcW w:w="1701" w:type="dxa"/>
          </w:tcPr>
          <w:p w14:paraId="34C160E6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F2F98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0C1C477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4C61B559" w14:textId="77777777" w:rsidTr="008B5255">
        <w:tc>
          <w:tcPr>
            <w:tcW w:w="4928" w:type="dxa"/>
          </w:tcPr>
          <w:p w14:paraId="384D5573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Evaluation metric 2 etc</w:t>
            </w:r>
          </w:p>
        </w:tc>
        <w:tc>
          <w:tcPr>
            <w:tcW w:w="1701" w:type="dxa"/>
          </w:tcPr>
          <w:p w14:paraId="09D3E81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7B362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ED9962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5CF8E8E2" w14:textId="77777777" w:rsidTr="008B5255">
        <w:tc>
          <w:tcPr>
            <w:tcW w:w="4928" w:type="dxa"/>
          </w:tcPr>
          <w:p w14:paraId="5B77021A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Analyse data and prepare findings for service implementation meeting</w:t>
            </w:r>
          </w:p>
        </w:tc>
        <w:tc>
          <w:tcPr>
            <w:tcW w:w="1701" w:type="dxa"/>
          </w:tcPr>
          <w:p w14:paraId="7F98996D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2DFB7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C8D1F5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45DE48A7" w14:textId="77777777" w:rsidTr="008B5255">
        <w:tc>
          <w:tcPr>
            <w:tcW w:w="9242" w:type="dxa"/>
            <w:gridSpan w:val="4"/>
            <w:shd w:val="clear" w:color="auto" w:fill="F9E3D2" w:themeFill="accent2" w:themeFillTint="33"/>
          </w:tcPr>
          <w:p w14:paraId="540B057C" w14:textId="77777777" w:rsidR="005C5BDD" w:rsidRPr="00C71769" w:rsidRDefault="005C5BDD" w:rsidP="00B0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sz w:val="20"/>
                <w:szCs w:val="20"/>
              </w:rPr>
              <w:t>Service redesign implementation planning</w:t>
            </w:r>
          </w:p>
        </w:tc>
      </w:tr>
      <w:tr w:rsidR="005C5BDD" w:rsidRPr="00C71769" w14:paraId="459B35FE" w14:textId="77777777" w:rsidTr="008B5255">
        <w:tc>
          <w:tcPr>
            <w:tcW w:w="4928" w:type="dxa"/>
          </w:tcPr>
          <w:p w14:paraId="7B960A01" w14:textId="0D1BAE40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Organise service implementation/</w:t>
            </w:r>
            <w:r w:rsidR="00DB0FCE">
              <w:rPr>
                <w:rFonts w:ascii="Arial" w:hAnsi="Arial" w:cs="Arial"/>
                <w:sz w:val="20"/>
                <w:szCs w:val="20"/>
              </w:rPr>
              <w:t>re</w:t>
            </w:r>
            <w:r w:rsidRPr="00C71769">
              <w:rPr>
                <w:rFonts w:ascii="Arial" w:hAnsi="Arial" w:cs="Arial"/>
                <w:sz w:val="20"/>
                <w:szCs w:val="20"/>
              </w:rPr>
              <w:t>design meeting with all key stakeholders</w:t>
            </w:r>
          </w:p>
        </w:tc>
        <w:tc>
          <w:tcPr>
            <w:tcW w:w="1701" w:type="dxa"/>
          </w:tcPr>
          <w:p w14:paraId="460AB25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77AE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3E2F9E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1E156966" w14:textId="77777777" w:rsidTr="008B5255">
        <w:tc>
          <w:tcPr>
            <w:tcW w:w="4928" w:type="dxa"/>
          </w:tcPr>
          <w:p w14:paraId="6E7327E3" w14:textId="3C4A138C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Agree service delivery model. Determine feasibility of </w:t>
            </w:r>
            <w:r w:rsidR="00DB0FCE">
              <w:rPr>
                <w:rFonts w:ascii="Arial" w:hAnsi="Arial" w:cs="Arial"/>
                <w:sz w:val="20"/>
                <w:szCs w:val="20"/>
              </w:rPr>
              <w:t xml:space="preserve">a centralised or blended </w:t>
            </w:r>
            <w:r w:rsidRPr="00C71769">
              <w:rPr>
                <w:rFonts w:ascii="Arial" w:hAnsi="Arial" w:cs="Arial"/>
                <w:sz w:val="20"/>
                <w:szCs w:val="20"/>
              </w:rPr>
              <w:t>service, if appropriate</w:t>
            </w:r>
          </w:p>
        </w:tc>
        <w:tc>
          <w:tcPr>
            <w:tcW w:w="1701" w:type="dxa"/>
          </w:tcPr>
          <w:p w14:paraId="52CE2EC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E5066B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F34225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7023C536" w14:textId="77777777" w:rsidTr="008B5255">
        <w:tc>
          <w:tcPr>
            <w:tcW w:w="4928" w:type="dxa"/>
          </w:tcPr>
          <w:p w14:paraId="52C17344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Map out the target patient pathway and journey, including all aspects of service delivery</w:t>
            </w:r>
          </w:p>
        </w:tc>
        <w:tc>
          <w:tcPr>
            <w:tcW w:w="1701" w:type="dxa"/>
          </w:tcPr>
          <w:p w14:paraId="626FC96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D4143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70D9BE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0488A8C1" w14:textId="77777777" w:rsidTr="008B5255">
        <w:tc>
          <w:tcPr>
            <w:tcW w:w="4928" w:type="dxa"/>
          </w:tcPr>
          <w:p w14:paraId="27519AF6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Develop comprehensive action plan and next steps, including responsibilities for key actions and project milestones</w:t>
            </w:r>
          </w:p>
        </w:tc>
        <w:tc>
          <w:tcPr>
            <w:tcW w:w="1701" w:type="dxa"/>
          </w:tcPr>
          <w:p w14:paraId="00B28A0A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65DB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E2675F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6F8" w:rsidRPr="00C71769" w14:paraId="09C7374B" w14:textId="77777777" w:rsidTr="008B5255">
        <w:tc>
          <w:tcPr>
            <w:tcW w:w="4928" w:type="dxa"/>
          </w:tcPr>
          <w:p w14:paraId="09BE98AF" w14:textId="77777777" w:rsidR="003E06F8" w:rsidRPr="00C71769" w:rsidRDefault="003E06F8" w:rsidP="003E06F8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Business case development</w:t>
            </w:r>
          </w:p>
        </w:tc>
        <w:tc>
          <w:tcPr>
            <w:tcW w:w="1701" w:type="dxa"/>
          </w:tcPr>
          <w:p w14:paraId="6FF41743" w14:textId="77777777" w:rsidR="003E06F8" w:rsidRPr="00C71769" w:rsidRDefault="003E06F8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D4D32" w14:textId="77777777" w:rsidR="003E06F8" w:rsidRPr="00C71769" w:rsidRDefault="003E06F8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EF7215A" w14:textId="77777777" w:rsidR="003E06F8" w:rsidRPr="00C71769" w:rsidRDefault="003E06F8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A0E833" w14:textId="77777777" w:rsidR="00E227EE" w:rsidRPr="00C71769" w:rsidRDefault="00E227EE">
      <w:pPr>
        <w:rPr>
          <w:rFonts w:ascii="Arial" w:hAnsi="Arial" w:cs="Arial"/>
        </w:rPr>
      </w:pPr>
      <w:r w:rsidRPr="00C71769">
        <w:rPr>
          <w:rFonts w:ascii="Arial" w:hAnsi="Arial" w:cs="Arial"/>
        </w:rPr>
        <w:br w:type="page"/>
      </w:r>
    </w:p>
    <w:tbl>
      <w:tblPr>
        <w:tblStyle w:val="TableGrid"/>
        <w:tblW w:w="924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28"/>
        <w:gridCol w:w="1701"/>
        <w:gridCol w:w="1276"/>
        <w:gridCol w:w="1337"/>
      </w:tblGrid>
      <w:tr w:rsidR="005C5BDD" w:rsidRPr="00C71769" w14:paraId="62029B88" w14:textId="77777777" w:rsidTr="00C71769">
        <w:tc>
          <w:tcPr>
            <w:tcW w:w="9242" w:type="dxa"/>
            <w:gridSpan w:val="4"/>
            <w:shd w:val="clear" w:color="auto" w:fill="F9E3D2" w:themeFill="accent2" w:themeFillTint="33"/>
          </w:tcPr>
          <w:p w14:paraId="7565EB59" w14:textId="77777777" w:rsidR="005C5BDD" w:rsidRPr="00C71769" w:rsidRDefault="005C5BDD" w:rsidP="00B0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sz w:val="20"/>
                <w:szCs w:val="20"/>
              </w:rPr>
              <w:lastRenderedPageBreak/>
              <w:t>Funding considerations</w:t>
            </w:r>
          </w:p>
        </w:tc>
      </w:tr>
      <w:tr w:rsidR="005C5BDD" w:rsidRPr="00C71769" w14:paraId="20B2D040" w14:textId="77777777" w:rsidTr="00B61171">
        <w:tc>
          <w:tcPr>
            <w:tcW w:w="4928" w:type="dxa"/>
          </w:tcPr>
          <w:p w14:paraId="1915A752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Clarify funding arrangements and tariff use with business managers</w:t>
            </w:r>
          </w:p>
        </w:tc>
        <w:tc>
          <w:tcPr>
            <w:tcW w:w="1701" w:type="dxa"/>
          </w:tcPr>
          <w:p w14:paraId="6EC0B26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8818EA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D30B59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7B4A28F4" w14:textId="77777777" w:rsidTr="00B61171">
        <w:tc>
          <w:tcPr>
            <w:tcW w:w="4928" w:type="dxa"/>
          </w:tcPr>
          <w:p w14:paraId="06EBE6CB" w14:textId="6A266E99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Develop formal business case </w:t>
            </w:r>
          </w:p>
        </w:tc>
        <w:tc>
          <w:tcPr>
            <w:tcW w:w="1701" w:type="dxa"/>
          </w:tcPr>
          <w:p w14:paraId="2301AE6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D335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DF641E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052C7A3E" w14:textId="77777777" w:rsidTr="00B61171">
        <w:tc>
          <w:tcPr>
            <w:tcW w:w="4928" w:type="dxa"/>
          </w:tcPr>
          <w:p w14:paraId="67121F23" w14:textId="77777777" w:rsidR="005C5BDD" w:rsidRPr="00C71769" w:rsidRDefault="005C5BDD" w:rsidP="001E3D2A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If VAT savings are </w:t>
            </w:r>
            <w:r w:rsidR="001E3D2A" w:rsidRPr="00C71769">
              <w:rPr>
                <w:rFonts w:ascii="Arial" w:hAnsi="Arial" w:cs="Arial"/>
                <w:sz w:val="20"/>
                <w:szCs w:val="20"/>
              </w:rPr>
              <w:t>included</w:t>
            </w:r>
            <w:r w:rsidRPr="00C71769">
              <w:rPr>
                <w:rFonts w:ascii="Arial" w:hAnsi="Arial" w:cs="Arial"/>
                <w:sz w:val="20"/>
                <w:szCs w:val="20"/>
              </w:rPr>
              <w:t>, ensure that consideration is given to ensure that the eligibility requirements are met</w:t>
            </w:r>
            <w:r w:rsidR="00534E1E" w:rsidRPr="00C71769">
              <w:rPr>
                <w:rFonts w:ascii="Arial" w:hAnsi="Arial" w:cs="Arial"/>
                <w:sz w:val="20"/>
                <w:szCs w:val="20"/>
              </w:rPr>
              <w:t xml:space="preserve"> and that the project is not dependent on them</w:t>
            </w:r>
          </w:p>
        </w:tc>
        <w:tc>
          <w:tcPr>
            <w:tcW w:w="1701" w:type="dxa"/>
          </w:tcPr>
          <w:p w14:paraId="3D415D5A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72528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A4932B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66E18728" w14:textId="77777777" w:rsidTr="00B61171">
        <w:tc>
          <w:tcPr>
            <w:tcW w:w="4928" w:type="dxa"/>
            <w:shd w:val="clear" w:color="auto" w:fill="F2F2F2" w:themeFill="background1" w:themeFillShade="F2"/>
          </w:tcPr>
          <w:p w14:paraId="7999846B" w14:textId="77777777" w:rsidR="005C5BDD" w:rsidRPr="00C71769" w:rsidRDefault="005C5BDD" w:rsidP="00B036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1769">
              <w:rPr>
                <w:rFonts w:ascii="Arial" w:hAnsi="Arial" w:cs="Arial"/>
                <w:i/>
                <w:sz w:val="20"/>
                <w:szCs w:val="20"/>
              </w:rPr>
              <w:t>Outreach only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179FA3B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F81589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14:paraId="702F6FD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32593121" w14:textId="77777777" w:rsidTr="00B61171">
        <w:tc>
          <w:tcPr>
            <w:tcW w:w="4928" w:type="dxa"/>
          </w:tcPr>
          <w:p w14:paraId="750AE876" w14:textId="411A3B23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Agree what outreach service will be provided</w:t>
            </w:r>
            <w:r w:rsidR="00DB0FCE">
              <w:rPr>
                <w:rFonts w:ascii="Arial" w:hAnsi="Arial" w:cs="Arial"/>
                <w:sz w:val="20"/>
                <w:szCs w:val="20"/>
              </w:rPr>
              <w:t xml:space="preserve"> if any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 and how this interacts with the main service</w:t>
            </w:r>
          </w:p>
        </w:tc>
        <w:tc>
          <w:tcPr>
            <w:tcW w:w="1701" w:type="dxa"/>
          </w:tcPr>
          <w:p w14:paraId="3E84FC6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D3562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C9DF1F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5B466C3C" w14:textId="77777777" w:rsidTr="00B61171">
        <w:tc>
          <w:tcPr>
            <w:tcW w:w="4928" w:type="dxa"/>
          </w:tcPr>
          <w:p w14:paraId="22BE9E00" w14:textId="67417425" w:rsidR="005C5BDD" w:rsidRPr="00C71769" w:rsidRDefault="003751E6" w:rsidP="003751E6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Discuss commissioning arrangements with </w:t>
            </w:r>
            <w:r w:rsidR="005C5BDD" w:rsidRPr="00C71769">
              <w:rPr>
                <w:rFonts w:ascii="Arial" w:hAnsi="Arial" w:cs="Arial"/>
                <w:sz w:val="20"/>
                <w:szCs w:val="20"/>
              </w:rPr>
              <w:t>re</w:t>
            </w:r>
            <w:r w:rsidRPr="00C71769">
              <w:rPr>
                <w:rFonts w:ascii="Arial" w:hAnsi="Arial" w:cs="Arial"/>
                <w:sz w:val="20"/>
                <w:szCs w:val="20"/>
              </w:rPr>
              <w:t>gional specialist commissioners</w:t>
            </w:r>
            <w:r w:rsidR="00BE064C" w:rsidRPr="00C71769">
              <w:rPr>
                <w:rFonts w:ascii="Arial" w:hAnsi="Arial" w:cs="Arial"/>
                <w:sz w:val="20"/>
                <w:szCs w:val="20"/>
              </w:rPr>
              <w:t xml:space="preserve"> and/or local CCG commissioners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 as relevant</w:t>
            </w:r>
          </w:p>
        </w:tc>
        <w:tc>
          <w:tcPr>
            <w:tcW w:w="1701" w:type="dxa"/>
          </w:tcPr>
          <w:p w14:paraId="05C025C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7599C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59975B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6F57FF9B" w14:textId="77777777" w:rsidTr="00C71769">
        <w:tc>
          <w:tcPr>
            <w:tcW w:w="9242" w:type="dxa"/>
            <w:gridSpan w:val="4"/>
            <w:shd w:val="clear" w:color="auto" w:fill="F9E3D2" w:themeFill="accent2" w:themeFillTint="33"/>
          </w:tcPr>
          <w:p w14:paraId="37B329D1" w14:textId="77777777" w:rsidR="005C5BDD" w:rsidRPr="00C71769" w:rsidRDefault="005C5BDD" w:rsidP="00B0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sz w:val="20"/>
                <w:szCs w:val="20"/>
              </w:rPr>
              <w:t>Staff and training requirements</w:t>
            </w:r>
          </w:p>
        </w:tc>
      </w:tr>
      <w:tr w:rsidR="005C5BDD" w:rsidRPr="00C71769" w14:paraId="073DE117" w14:textId="77777777" w:rsidTr="00B61171">
        <w:tc>
          <w:tcPr>
            <w:tcW w:w="4928" w:type="dxa"/>
          </w:tcPr>
          <w:p w14:paraId="1DF5BE7E" w14:textId="41A86F0D" w:rsidR="005C5BDD" w:rsidRPr="00C71769" w:rsidRDefault="003E06F8" w:rsidP="003E06F8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Assess </w:t>
            </w:r>
            <w:r w:rsidR="005C5BDD" w:rsidRPr="00C71769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Pr="00C71769">
              <w:rPr>
                <w:rFonts w:ascii="Arial" w:hAnsi="Arial" w:cs="Arial"/>
                <w:sz w:val="20"/>
                <w:szCs w:val="20"/>
              </w:rPr>
              <w:t xml:space="preserve">resourcing required </w:t>
            </w:r>
            <w:r w:rsidR="005C5BDD" w:rsidRPr="00C71769">
              <w:rPr>
                <w:rFonts w:ascii="Arial" w:hAnsi="Arial" w:cs="Arial"/>
                <w:sz w:val="20"/>
                <w:szCs w:val="20"/>
              </w:rPr>
              <w:t>to provide the service</w:t>
            </w:r>
            <w:r w:rsidR="00EB613B">
              <w:rPr>
                <w:rFonts w:ascii="Arial" w:hAnsi="Arial" w:cs="Arial"/>
                <w:sz w:val="20"/>
                <w:szCs w:val="20"/>
              </w:rPr>
              <w:t>. Perform a gap analysis to determine what skills are available and what is needed</w:t>
            </w:r>
          </w:p>
        </w:tc>
        <w:tc>
          <w:tcPr>
            <w:tcW w:w="1701" w:type="dxa"/>
          </w:tcPr>
          <w:p w14:paraId="7799B1E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49D0DD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0DE9D1A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6F8" w:rsidRPr="00C71769" w14:paraId="377A7E9F" w14:textId="77777777" w:rsidTr="00B61171">
        <w:tc>
          <w:tcPr>
            <w:tcW w:w="4928" w:type="dxa"/>
          </w:tcPr>
          <w:p w14:paraId="6BF0DF62" w14:textId="77777777" w:rsidR="003E06F8" w:rsidRPr="00C71769" w:rsidRDefault="003E06F8" w:rsidP="003E06F8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Recruit new staff (if necessary)</w:t>
            </w:r>
          </w:p>
        </w:tc>
        <w:tc>
          <w:tcPr>
            <w:tcW w:w="1701" w:type="dxa"/>
          </w:tcPr>
          <w:p w14:paraId="12B69D01" w14:textId="77777777" w:rsidR="003E06F8" w:rsidRPr="00C71769" w:rsidRDefault="003E06F8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1E025" w14:textId="77777777" w:rsidR="003E06F8" w:rsidRPr="00C71769" w:rsidRDefault="003E06F8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CF0A86E" w14:textId="77777777" w:rsidR="003E06F8" w:rsidRPr="00C71769" w:rsidRDefault="003E06F8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1342EAE0" w14:textId="77777777" w:rsidTr="00B61171">
        <w:tc>
          <w:tcPr>
            <w:tcW w:w="4928" w:type="dxa"/>
          </w:tcPr>
          <w:p w14:paraId="71587180" w14:textId="53D0D00D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Review training requirements and create a training plan for new and existing staff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 referring to gap analysis</w:t>
            </w:r>
          </w:p>
        </w:tc>
        <w:tc>
          <w:tcPr>
            <w:tcW w:w="1701" w:type="dxa"/>
          </w:tcPr>
          <w:p w14:paraId="6907303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D26E0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AD2C7A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2A2AF326" w14:textId="77777777" w:rsidTr="00B61171">
        <w:tc>
          <w:tcPr>
            <w:tcW w:w="4928" w:type="dxa"/>
          </w:tcPr>
          <w:p w14:paraId="0939619B" w14:textId="7F5D42E9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Develop training materials for clinical</w:t>
            </w:r>
            <w:r w:rsidR="00EB613B">
              <w:rPr>
                <w:rFonts w:ascii="Arial" w:hAnsi="Arial" w:cs="Arial"/>
                <w:sz w:val="20"/>
                <w:szCs w:val="20"/>
              </w:rPr>
              <w:t>, scientific, technical, nursing, administration</w:t>
            </w:r>
            <w:r w:rsidRPr="00C7176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61171" w:rsidRPr="00C71769">
              <w:rPr>
                <w:rFonts w:ascii="Arial" w:hAnsi="Arial" w:cs="Arial"/>
                <w:sz w:val="20"/>
                <w:szCs w:val="20"/>
              </w:rPr>
              <w:t>radio</w:t>
            </w:r>
            <w:r w:rsidRPr="00C71769">
              <w:rPr>
                <w:rFonts w:ascii="Arial" w:hAnsi="Arial" w:cs="Arial"/>
                <w:sz w:val="20"/>
                <w:szCs w:val="20"/>
              </w:rPr>
              <w:t>pharmacy staff, and patient information leaflet(s)</w:t>
            </w:r>
          </w:p>
        </w:tc>
        <w:tc>
          <w:tcPr>
            <w:tcW w:w="1701" w:type="dxa"/>
          </w:tcPr>
          <w:p w14:paraId="79621CB2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3CB0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ABFC66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6EF4B1E3" w14:textId="77777777" w:rsidTr="00B61171">
        <w:tc>
          <w:tcPr>
            <w:tcW w:w="4928" w:type="dxa"/>
          </w:tcPr>
          <w:p w14:paraId="4CBEC65B" w14:textId="3088901F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Pharmacy guide for compounding 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(if required) </w:t>
            </w:r>
            <w:r w:rsidRPr="00C71769">
              <w:rPr>
                <w:rFonts w:ascii="Arial" w:hAnsi="Arial" w:cs="Arial"/>
                <w:sz w:val="20"/>
                <w:szCs w:val="20"/>
              </w:rPr>
              <w:t>and storage</w:t>
            </w:r>
          </w:p>
        </w:tc>
        <w:tc>
          <w:tcPr>
            <w:tcW w:w="1701" w:type="dxa"/>
          </w:tcPr>
          <w:p w14:paraId="4DCC6AD2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AEB5B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793DF92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47FDC9AE" w14:textId="77777777" w:rsidTr="00B61171">
        <w:tc>
          <w:tcPr>
            <w:tcW w:w="4928" w:type="dxa"/>
          </w:tcPr>
          <w:p w14:paraId="3C59471A" w14:textId="316221B4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Patient information leaflets </w:t>
            </w:r>
          </w:p>
        </w:tc>
        <w:tc>
          <w:tcPr>
            <w:tcW w:w="1701" w:type="dxa"/>
          </w:tcPr>
          <w:p w14:paraId="4809912D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3584B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B2F1322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0EF20DA4" w14:textId="77777777" w:rsidTr="00C71769">
        <w:tc>
          <w:tcPr>
            <w:tcW w:w="9242" w:type="dxa"/>
            <w:gridSpan w:val="4"/>
            <w:shd w:val="clear" w:color="auto" w:fill="F9E3D2" w:themeFill="accent2" w:themeFillTint="33"/>
          </w:tcPr>
          <w:p w14:paraId="045A155C" w14:textId="77777777" w:rsidR="005C5BDD" w:rsidRPr="00C71769" w:rsidRDefault="005C5BDD" w:rsidP="00B0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sz w:val="20"/>
                <w:szCs w:val="20"/>
              </w:rPr>
              <w:t>Pharmacy considerations</w:t>
            </w:r>
          </w:p>
        </w:tc>
      </w:tr>
      <w:tr w:rsidR="005C5BDD" w:rsidRPr="00C71769" w14:paraId="5B1BD43C" w14:textId="77777777" w:rsidTr="00B61171">
        <w:tc>
          <w:tcPr>
            <w:tcW w:w="4928" w:type="dxa"/>
          </w:tcPr>
          <w:p w14:paraId="77020E4A" w14:textId="75B925B4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B61171" w:rsidRPr="00C71769">
              <w:rPr>
                <w:rFonts w:ascii="Arial" w:hAnsi="Arial" w:cs="Arial"/>
                <w:sz w:val="20"/>
                <w:szCs w:val="20"/>
              </w:rPr>
              <w:t>radio</w:t>
            </w:r>
            <w:r w:rsidRPr="00C71769">
              <w:rPr>
                <w:rFonts w:ascii="Arial" w:hAnsi="Arial" w:cs="Arial"/>
                <w:sz w:val="20"/>
                <w:szCs w:val="20"/>
              </w:rPr>
              <w:t xml:space="preserve">pharmacy staff are trained on </w:t>
            </w:r>
            <w:r w:rsidR="00DB0FCE">
              <w:rPr>
                <w:rFonts w:ascii="Arial" w:hAnsi="Arial" w:cs="Arial"/>
                <w:sz w:val="20"/>
                <w:szCs w:val="20"/>
              </w:rPr>
              <w:t>reconstitution</w:t>
            </w:r>
            <w:r w:rsidR="00DB0FCE" w:rsidRPr="00C71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769">
              <w:rPr>
                <w:rFonts w:ascii="Arial" w:hAnsi="Arial" w:cs="Arial"/>
                <w:sz w:val="20"/>
                <w:szCs w:val="20"/>
              </w:rPr>
              <w:t>and storage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. This may be needed for both diagnostic and therapeutic radiopharmaceuticals </w:t>
            </w:r>
          </w:p>
        </w:tc>
        <w:tc>
          <w:tcPr>
            <w:tcW w:w="1701" w:type="dxa"/>
          </w:tcPr>
          <w:p w14:paraId="24EB123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258517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F6FB266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13B" w:rsidRPr="00C71769" w14:paraId="7B086164" w14:textId="77777777" w:rsidTr="00B61171">
        <w:tc>
          <w:tcPr>
            <w:tcW w:w="4928" w:type="dxa"/>
          </w:tcPr>
          <w:p w14:paraId="52DB2B26" w14:textId="655D300C" w:rsidR="00EB613B" w:rsidRPr="00C71769" w:rsidRDefault="00EB613B" w:rsidP="00B03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non radioactive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drugs such as anti-emetics and amino acid infusions are on hospital formulary and available</w:t>
            </w:r>
          </w:p>
        </w:tc>
        <w:tc>
          <w:tcPr>
            <w:tcW w:w="1701" w:type="dxa"/>
          </w:tcPr>
          <w:p w14:paraId="3D133F8D" w14:textId="77777777" w:rsidR="00EB613B" w:rsidRPr="00C71769" w:rsidRDefault="00EB613B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9C989" w14:textId="77777777" w:rsidR="00EB613B" w:rsidRPr="00C71769" w:rsidRDefault="00EB613B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93540EC" w14:textId="77777777" w:rsidR="00EB613B" w:rsidRPr="00C71769" w:rsidRDefault="00EB613B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40622D95" w14:textId="77777777" w:rsidTr="00B61171">
        <w:tc>
          <w:tcPr>
            <w:tcW w:w="4928" w:type="dxa"/>
            <w:shd w:val="clear" w:color="auto" w:fill="F2F2F2" w:themeFill="background1" w:themeFillShade="F2"/>
          </w:tcPr>
          <w:p w14:paraId="55A9F230" w14:textId="655A4EDF" w:rsidR="005C5BDD" w:rsidRPr="00C71769" w:rsidRDefault="005C5BDD" w:rsidP="00B036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3BD06F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5C0D7F2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14:paraId="42292AF7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715146AC" w14:textId="77777777" w:rsidTr="00B61171">
        <w:tc>
          <w:tcPr>
            <w:tcW w:w="4928" w:type="dxa"/>
          </w:tcPr>
          <w:p w14:paraId="117B7D88" w14:textId="320EE7CC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Ensure that there are appropriate storage and transportation facilities (e.g. temperature-controlled vehicles and/or </w:t>
            </w:r>
            <w:r w:rsidR="00B61171" w:rsidRPr="00C71769">
              <w:rPr>
                <w:rFonts w:ascii="Arial" w:hAnsi="Arial" w:cs="Arial"/>
                <w:sz w:val="20"/>
                <w:szCs w:val="20"/>
              </w:rPr>
              <w:t>radio</w:t>
            </w:r>
            <w:r w:rsidRPr="00C71769">
              <w:rPr>
                <w:rFonts w:ascii="Arial" w:hAnsi="Arial" w:cs="Arial"/>
                <w:sz w:val="20"/>
                <w:szCs w:val="20"/>
              </w:rPr>
              <w:t>pharmacy cool boxes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 if required</w:t>
            </w:r>
            <w:r w:rsidRPr="00C717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8B7A0F" w14:textId="77777777" w:rsidR="005C5BDD" w:rsidRPr="00C71769" w:rsidRDefault="005C5BDD" w:rsidP="00F5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67F5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DE124E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693102F2" w14:textId="77777777" w:rsidTr="00C71769">
        <w:tc>
          <w:tcPr>
            <w:tcW w:w="9242" w:type="dxa"/>
            <w:gridSpan w:val="4"/>
            <w:shd w:val="clear" w:color="auto" w:fill="F9E3D2" w:themeFill="accent2" w:themeFillTint="33"/>
          </w:tcPr>
          <w:p w14:paraId="56111A76" w14:textId="77777777" w:rsidR="005C5BDD" w:rsidRPr="00C71769" w:rsidRDefault="005C5BDD" w:rsidP="00B0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sz w:val="20"/>
                <w:szCs w:val="20"/>
              </w:rPr>
              <w:t>SOPs and policy management</w:t>
            </w:r>
          </w:p>
        </w:tc>
      </w:tr>
      <w:tr w:rsidR="005C5BDD" w:rsidRPr="00C71769" w14:paraId="2FC7BA48" w14:textId="77777777" w:rsidTr="00B61171">
        <w:tc>
          <w:tcPr>
            <w:tcW w:w="4928" w:type="dxa"/>
          </w:tcPr>
          <w:p w14:paraId="184AF534" w14:textId="1D5B7013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Agree with stakeholders the SOPs and policies required for implementation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 of molecular radiotherapy services</w:t>
            </w:r>
          </w:p>
        </w:tc>
        <w:tc>
          <w:tcPr>
            <w:tcW w:w="1701" w:type="dxa"/>
          </w:tcPr>
          <w:p w14:paraId="0EAD85F7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8FF7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86C5A0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163C2CC1" w14:textId="77777777" w:rsidTr="00B61171">
        <w:tc>
          <w:tcPr>
            <w:tcW w:w="4928" w:type="dxa"/>
          </w:tcPr>
          <w:p w14:paraId="1C4224EA" w14:textId="60C1910C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Develop and approve required policies (note not all policies below will be required for each service model)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. Ensure </w:t>
            </w:r>
            <w:r w:rsidR="00ED6326">
              <w:rPr>
                <w:rFonts w:ascii="Arial" w:hAnsi="Arial" w:cs="Arial"/>
                <w:sz w:val="20"/>
                <w:szCs w:val="20"/>
              </w:rPr>
              <w:t xml:space="preserve">plans have been reviewed by </w:t>
            </w:r>
            <w:proofErr w:type="spellStart"/>
            <w:r w:rsidR="00ED6326">
              <w:rPr>
                <w:rFonts w:ascii="Arial" w:hAnsi="Arial" w:cs="Arial"/>
                <w:sz w:val="20"/>
                <w:szCs w:val="20"/>
              </w:rPr>
              <w:lastRenderedPageBreak/>
              <w:t>hospita</w:t>
            </w:r>
            <w:proofErr w:type="spellEnd"/>
            <w:r w:rsidR="00ED6326">
              <w:rPr>
                <w:rFonts w:ascii="Arial" w:hAnsi="Arial" w:cs="Arial"/>
                <w:sz w:val="20"/>
                <w:szCs w:val="20"/>
              </w:rPr>
              <w:t>/Trust clinical governance system and if relevant New Drugs Committee</w:t>
            </w:r>
          </w:p>
        </w:tc>
        <w:tc>
          <w:tcPr>
            <w:tcW w:w="1701" w:type="dxa"/>
          </w:tcPr>
          <w:p w14:paraId="308EE6C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8E60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2DD135A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72F4FDCB" w14:textId="77777777" w:rsidTr="00B61171">
        <w:tc>
          <w:tcPr>
            <w:tcW w:w="4928" w:type="dxa"/>
          </w:tcPr>
          <w:p w14:paraId="1D8D9F6A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Adverse event management</w:t>
            </w:r>
          </w:p>
        </w:tc>
        <w:tc>
          <w:tcPr>
            <w:tcW w:w="1701" w:type="dxa"/>
          </w:tcPr>
          <w:p w14:paraId="5D295AE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249D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52837E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255" w:rsidRPr="00C71769" w14:paraId="502A1794" w14:textId="77777777" w:rsidTr="00B61171">
        <w:tc>
          <w:tcPr>
            <w:tcW w:w="4928" w:type="dxa"/>
          </w:tcPr>
          <w:p w14:paraId="1EA56091" w14:textId="2605DCF5" w:rsidR="008B5255" w:rsidRPr="00C71769" w:rsidRDefault="008B5255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Environmental agency licenses </w:t>
            </w:r>
          </w:p>
        </w:tc>
        <w:tc>
          <w:tcPr>
            <w:tcW w:w="1701" w:type="dxa"/>
          </w:tcPr>
          <w:p w14:paraId="49765EDC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20300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CD9F21C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255" w:rsidRPr="00C71769" w14:paraId="4B3D571A" w14:textId="77777777" w:rsidTr="00B61171">
        <w:tc>
          <w:tcPr>
            <w:tcW w:w="4928" w:type="dxa"/>
          </w:tcPr>
          <w:p w14:paraId="740BAB04" w14:textId="3D8D84C7" w:rsidR="008B5255" w:rsidRPr="00C71769" w:rsidRDefault="008B5255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training </w:t>
            </w:r>
            <w:r w:rsidR="00EB613B">
              <w:rPr>
                <w:rFonts w:ascii="Arial" w:hAnsi="Arial" w:cs="Arial"/>
                <w:sz w:val="20"/>
                <w:szCs w:val="20"/>
              </w:rPr>
              <w:t>including ARSAC IRMER licences</w:t>
            </w:r>
          </w:p>
        </w:tc>
        <w:tc>
          <w:tcPr>
            <w:tcW w:w="1701" w:type="dxa"/>
          </w:tcPr>
          <w:p w14:paraId="7EACA70B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15518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27A5C8D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255" w:rsidRPr="00C71769" w14:paraId="541A063A" w14:textId="77777777" w:rsidTr="00B61171">
        <w:tc>
          <w:tcPr>
            <w:tcW w:w="4928" w:type="dxa"/>
          </w:tcPr>
          <w:p w14:paraId="7CAE73BE" w14:textId="79F4465E" w:rsidR="008B5255" w:rsidRPr="00C71769" w:rsidRDefault="008B5255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Secure treatment administration setting </w:t>
            </w:r>
            <w:r w:rsidR="00EB613B">
              <w:rPr>
                <w:rFonts w:ascii="Arial" w:hAnsi="Arial" w:cs="Arial"/>
                <w:sz w:val="20"/>
                <w:szCs w:val="20"/>
              </w:rPr>
              <w:t>includ</w:t>
            </w:r>
            <w:r w:rsidR="006B1A65">
              <w:rPr>
                <w:rFonts w:ascii="Arial" w:hAnsi="Arial" w:cs="Arial"/>
                <w:sz w:val="20"/>
                <w:szCs w:val="20"/>
              </w:rPr>
              <w:t>ing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 treatment area, toilets and if in-patient shower facilities </w:t>
            </w:r>
          </w:p>
        </w:tc>
        <w:tc>
          <w:tcPr>
            <w:tcW w:w="1701" w:type="dxa"/>
          </w:tcPr>
          <w:p w14:paraId="4B9B37E9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BCB11A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DE2E28D" w14:textId="77777777" w:rsidR="008B5255" w:rsidRPr="00C71769" w:rsidRDefault="008B5255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587801DB" w14:textId="77777777" w:rsidTr="00B61171">
        <w:tc>
          <w:tcPr>
            <w:tcW w:w="4928" w:type="dxa"/>
          </w:tcPr>
          <w:p w14:paraId="3BB93807" w14:textId="71E0E62F" w:rsidR="005C5BDD" w:rsidRPr="00C71769" w:rsidRDefault="008B5255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</w:t>
            </w:r>
            <w:r w:rsidR="005C5BDD" w:rsidRPr="00C71769">
              <w:rPr>
                <w:rFonts w:ascii="Arial" w:hAnsi="Arial" w:cs="Arial"/>
                <w:sz w:val="20"/>
                <w:szCs w:val="20"/>
              </w:rPr>
              <w:t>sk assessment</w:t>
            </w:r>
            <w:r>
              <w:rPr>
                <w:rFonts w:ascii="Arial" w:hAnsi="Arial" w:cs="Arial"/>
                <w:sz w:val="20"/>
                <w:szCs w:val="20"/>
              </w:rPr>
              <w:t>, radiation exposure</w:t>
            </w:r>
            <w:r w:rsidR="005C5BDD" w:rsidRPr="00C717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DB0FCE">
              <w:rPr>
                <w:rFonts w:ascii="Arial" w:hAnsi="Arial" w:cs="Arial"/>
                <w:sz w:val="20"/>
                <w:szCs w:val="20"/>
              </w:rPr>
              <w:t>radioactive</w:t>
            </w:r>
            <w:r w:rsidR="00DB0FCE" w:rsidRPr="00C71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BDD" w:rsidRPr="00C71769">
              <w:rPr>
                <w:rFonts w:ascii="Arial" w:hAnsi="Arial" w:cs="Arial"/>
                <w:sz w:val="20"/>
                <w:szCs w:val="20"/>
              </w:rPr>
              <w:t>waste</w:t>
            </w:r>
            <w:r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</w:p>
        </w:tc>
        <w:tc>
          <w:tcPr>
            <w:tcW w:w="1701" w:type="dxa"/>
          </w:tcPr>
          <w:p w14:paraId="4BA731F2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3DCBD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8A837F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60B0AD9E" w14:textId="77777777" w:rsidTr="00B61171">
        <w:tc>
          <w:tcPr>
            <w:tcW w:w="4928" w:type="dxa"/>
          </w:tcPr>
          <w:p w14:paraId="0EEC0375" w14:textId="2701A9FA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 xml:space="preserve">Methods of contact with patients (e.g. use of email, text service, </w:t>
            </w:r>
            <w:r w:rsidR="00EB613B">
              <w:rPr>
                <w:rFonts w:ascii="Arial" w:hAnsi="Arial" w:cs="Arial"/>
                <w:sz w:val="20"/>
                <w:szCs w:val="20"/>
              </w:rPr>
              <w:t>vid</w:t>
            </w:r>
            <w:r w:rsidR="00ED6326">
              <w:rPr>
                <w:rFonts w:ascii="Arial" w:hAnsi="Arial" w:cs="Arial"/>
                <w:sz w:val="20"/>
                <w:szCs w:val="20"/>
              </w:rPr>
              <w:t>eo</w:t>
            </w:r>
            <w:r w:rsidR="00EB613B">
              <w:rPr>
                <w:rFonts w:ascii="Arial" w:hAnsi="Arial" w:cs="Arial"/>
                <w:sz w:val="20"/>
                <w:szCs w:val="20"/>
              </w:rPr>
              <w:t xml:space="preserve"> conferencing</w:t>
            </w:r>
            <w:r w:rsidR="006B1A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4D4B4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D262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1BE6835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2AD8B0FF" w14:textId="77777777" w:rsidTr="00B61171">
        <w:tc>
          <w:tcPr>
            <w:tcW w:w="4928" w:type="dxa"/>
          </w:tcPr>
          <w:p w14:paraId="7501639B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Administration information (</w:t>
            </w:r>
            <w:r w:rsidR="00B61171" w:rsidRPr="00C71769">
              <w:rPr>
                <w:rFonts w:ascii="Arial" w:hAnsi="Arial" w:cs="Arial"/>
                <w:sz w:val="20"/>
                <w:szCs w:val="20"/>
              </w:rPr>
              <w:t>e.g.</w:t>
            </w:r>
            <w:r w:rsidRPr="00C71769">
              <w:rPr>
                <w:rFonts w:ascii="Arial" w:hAnsi="Arial" w:cs="Arial"/>
                <w:sz w:val="20"/>
                <w:szCs w:val="20"/>
              </w:rPr>
              <w:t xml:space="preserve"> premedication, administration rate</w:t>
            </w:r>
            <w:r w:rsidR="00B61171" w:rsidRPr="00C71769">
              <w:rPr>
                <w:rFonts w:ascii="Arial" w:hAnsi="Arial" w:cs="Arial"/>
                <w:sz w:val="20"/>
                <w:szCs w:val="20"/>
              </w:rPr>
              <w:t>,</w:t>
            </w:r>
            <w:r w:rsidRPr="00C71769">
              <w:rPr>
                <w:rFonts w:ascii="Arial" w:hAnsi="Arial" w:cs="Arial"/>
                <w:sz w:val="20"/>
                <w:szCs w:val="20"/>
              </w:rPr>
              <w:t xml:space="preserve"> etc)</w:t>
            </w:r>
          </w:p>
        </w:tc>
        <w:tc>
          <w:tcPr>
            <w:tcW w:w="1701" w:type="dxa"/>
          </w:tcPr>
          <w:p w14:paraId="51573003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9C2ED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517BDC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25A3E005" w14:textId="77777777" w:rsidTr="00B61171">
        <w:tc>
          <w:tcPr>
            <w:tcW w:w="4928" w:type="dxa"/>
          </w:tcPr>
          <w:p w14:paraId="560AEC8B" w14:textId="05E297EB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Clinical escalation procedures and emergency procedures</w:t>
            </w:r>
            <w:r w:rsidR="003751E6" w:rsidRPr="00C71769">
              <w:rPr>
                <w:rFonts w:ascii="Arial" w:hAnsi="Arial" w:cs="Arial"/>
                <w:sz w:val="20"/>
                <w:szCs w:val="20"/>
              </w:rPr>
              <w:t xml:space="preserve"> (i.e. understanding of local protocols on drugs used and </w:t>
            </w:r>
            <w:r w:rsidR="00ED6326">
              <w:rPr>
                <w:rFonts w:ascii="Arial" w:hAnsi="Arial" w:cs="Arial"/>
                <w:sz w:val="20"/>
                <w:szCs w:val="20"/>
              </w:rPr>
              <w:t>adverse event</w:t>
            </w:r>
            <w:r w:rsidR="00ED6326" w:rsidRPr="00C71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1E6" w:rsidRPr="00C71769">
              <w:rPr>
                <w:rFonts w:ascii="Arial" w:hAnsi="Arial" w:cs="Arial"/>
                <w:sz w:val="20"/>
                <w:szCs w:val="20"/>
              </w:rPr>
              <w:t>management/dose changes)</w:t>
            </w:r>
          </w:p>
        </w:tc>
        <w:tc>
          <w:tcPr>
            <w:tcW w:w="1701" w:type="dxa"/>
          </w:tcPr>
          <w:p w14:paraId="7C217C6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ADF7C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C06381F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1A67DB48" w14:textId="77777777" w:rsidTr="00C71769">
        <w:tc>
          <w:tcPr>
            <w:tcW w:w="9242" w:type="dxa"/>
            <w:gridSpan w:val="4"/>
            <w:shd w:val="clear" w:color="auto" w:fill="F9E3D2" w:themeFill="accent2" w:themeFillTint="33"/>
          </w:tcPr>
          <w:p w14:paraId="1AD5E2BB" w14:textId="77777777" w:rsidR="005C5BDD" w:rsidRPr="00C71769" w:rsidRDefault="005C5BDD" w:rsidP="00B0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769">
              <w:rPr>
                <w:rFonts w:ascii="Arial" w:hAnsi="Arial" w:cs="Arial"/>
                <w:b/>
                <w:sz w:val="20"/>
                <w:szCs w:val="20"/>
              </w:rPr>
              <w:t>Service evaluation</w:t>
            </w:r>
          </w:p>
        </w:tc>
      </w:tr>
      <w:tr w:rsidR="005C5BDD" w:rsidRPr="00C71769" w14:paraId="1B0B3A64" w14:textId="77777777" w:rsidTr="00B61171">
        <w:tc>
          <w:tcPr>
            <w:tcW w:w="4928" w:type="dxa"/>
          </w:tcPr>
          <w:p w14:paraId="1D54073D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Finalise evaluation plan, gain relevant local approval and collect data</w:t>
            </w:r>
          </w:p>
        </w:tc>
        <w:tc>
          <w:tcPr>
            <w:tcW w:w="1701" w:type="dxa"/>
          </w:tcPr>
          <w:p w14:paraId="3BA67DD6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3649F0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6BF7C2B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684D2D8C" w14:textId="77777777" w:rsidTr="00B61171">
        <w:tc>
          <w:tcPr>
            <w:tcW w:w="4928" w:type="dxa"/>
          </w:tcPr>
          <w:p w14:paraId="18CBCDB8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Evaluation metric 1</w:t>
            </w:r>
          </w:p>
        </w:tc>
        <w:tc>
          <w:tcPr>
            <w:tcW w:w="1701" w:type="dxa"/>
          </w:tcPr>
          <w:p w14:paraId="5D9FD8F2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52923B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2C0C4DC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005DA83F" w14:textId="77777777" w:rsidTr="00B61171">
        <w:tc>
          <w:tcPr>
            <w:tcW w:w="4928" w:type="dxa"/>
          </w:tcPr>
          <w:p w14:paraId="73D936FD" w14:textId="77777777" w:rsidR="005C5BDD" w:rsidRPr="00C71769" w:rsidRDefault="005C5BDD" w:rsidP="00B0366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Evaluation metric 2 etc</w:t>
            </w:r>
          </w:p>
        </w:tc>
        <w:tc>
          <w:tcPr>
            <w:tcW w:w="1701" w:type="dxa"/>
          </w:tcPr>
          <w:p w14:paraId="6F1F6DA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EE003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CA4910E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7BF942C6" w14:textId="77777777" w:rsidTr="00B61171">
        <w:tc>
          <w:tcPr>
            <w:tcW w:w="4928" w:type="dxa"/>
          </w:tcPr>
          <w:p w14:paraId="240C2A9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Analyse data and assess findings</w:t>
            </w:r>
          </w:p>
        </w:tc>
        <w:tc>
          <w:tcPr>
            <w:tcW w:w="1701" w:type="dxa"/>
          </w:tcPr>
          <w:p w14:paraId="01C9C091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ED2BE8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CBA23B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D" w:rsidRPr="00C71769" w14:paraId="2A3B4865" w14:textId="77777777" w:rsidTr="00B61171">
        <w:tc>
          <w:tcPr>
            <w:tcW w:w="4928" w:type="dxa"/>
          </w:tcPr>
          <w:p w14:paraId="2483AC94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  <w:r w:rsidRPr="00C71769">
              <w:rPr>
                <w:rFonts w:ascii="Arial" w:hAnsi="Arial" w:cs="Arial"/>
                <w:sz w:val="20"/>
                <w:szCs w:val="20"/>
              </w:rPr>
              <w:t>Disseminate findings to project team and agree any follow-up actions and/or service refinements</w:t>
            </w:r>
          </w:p>
        </w:tc>
        <w:tc>
          <w:tcPr>
            <w:tcW w:w="1701" w:type="dxa"/>
          </w:tcPr>
          <w:p w14:paraId="6A806CF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18A09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6796597" w14:textId="77777777" w:rsidR="005C5BDD" w:rsidRPr="00C71769" w:rsidRDefault="005C5BDD" w:rsidP="00B0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50BF4" w14:textId="77777777" w:rsidR="007C1365" w:rsidRPr="00C71769" w:rsidRDefault="007C1365" w:rsidP="00F50F38">
      <w:pPr>
        <w:rPr>
          <w:rFonts w:ascii="Arial" w:hAnsi="Arial" w:cs="Arial"/>
          <w:sz w:val="15"/>
          <w:szCs w:val="15"/>
        </w:rPr>
      </w:pPr>
    </w:p>
    <w:sectPr w:rsidR="007C1365" w:rsidRPr="00C71769" w:rsidSect="003D5C44">
      <w:footerReference w:type="default" r:id="rId7"/>
      <w:footerReference w:type="first" r:id="rId8"/>
      <w:pgSz w:w="11906" w:h="16838"/>
      <w:pgMar w:top="1440" w:right="1440" w:bottom="1440" w:left="1440" w:header="708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4B8E" w14:textId="77777777" w:rsidR="00DA7FA2" w:rsidRDefault="00DA7FA2" w:rsidP="005C5BDD">
      <w:pPr>
        <w:spacing w:after="0" w:line="240" w:lineRule="auto"/>
      </w:pPr>
      <w:r>
        <w:separator/>
      </w:r>
    </w:p>
  </w:endnote>
  <w:endnote w:type="continuationSeparator" w:id="0">
    <w:p w14:paraId="2B686BBE" w14:textId="77777777" w:rsidR="00DA7FA2" w:rsidRDefault="00DA7FA2" w:rsidP="005C5BDD">
      <w:pPr>
        <w:spacing w:after="0" w:line="240" w:lineRule="auto"/>
      </w:pPr>
      <w:r>
        <w:continuationSeparator/>
      </w:r>
    </w:p>
  </w:endnote>
  <w:endnote w:type="continuationNotice" w:id="1">
    <w:p w14:paraId="1835EC8D" w14:textId="77777777" w:rsidR="00DA7FA2" w:rsidRDefault="00DA7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732F" w14:textId="1FEF8022" w:rsidR="00792F40" w:rsidRPr="00E5724A" w:rsidRDefault="00792F40" w:rsidP="00792F40">
    <w:pPr>
      <w:pStyle w:val="Footer"/>
      <w:rPr>
        <w:rFonts w:ascii="Arial" w:hAnsi="Arial" w:cs="Arial"/>
        <w:sz w:val="18"/>
        <w:szCs w:val="18"/>
      </w:rPr>
    </w:pPr>
    <w:r w:rsidRPr="00E5724A">
      <w:rPr>
        <w:rFonts w:ascii="Arial" w:hAnsi="Arial" w:cs="Arial"/>
        <w:sz w:val="18"/>
        <w:szCs w:val="18"/>
      </w:rPr>
      <w:t xml:space="preserve">Date of preparation: </w:t>
    </w:r>
    <w:r w:rsidR="00ED3F70">
      <w:rPr>
        <w:rFonts w:ascii="Arial" w:hAnsi="Arial" w:cs="Arial"/>
        <w:sz w:val="18"/>
        <w:szCs w:val="18"/>
      </w:rPr>
      <w:t>September</w:t>
    </w:r>
    <w:r w:rsidR="00A30340">
      <w:rPr>
        <w:rFonts w:ascii="Arial" w:hAnsi="Arial" w:cs="Arial"/>
        <w:sz w:val="18"/>
        <w:szCs w:val="18"/>
      </w:rPr>
      <w:t xml:space="preserve"> 2021</w:t>
    </w:r>
  </w:p>
  <w:p w14:paraId="3754B6A1" w14:textId="2E4A7F4C" w:rsidR="00792F40" w:rsidRPr="00E5724A" w:rsidRDefault="00792F40" w:rsidP="00792F40">
    <w:pPr>
      <w:pStyle w:val="Footer"/>
      <w:rPr>
        <w:rFonts w:ascii="Arial" w:hAnsi="Arial" w:cs="Arial"/>
        <w:sz w:val="18"/>
        <w:szCs w:val="18"/>
      </w:rPr>
    </w:pPr>
    <w:r w:rsidRPr="00E5724A">
      <w:rPr>
        <w:rFonts w:ascii="Arial" w:hAnsi="Arial" w:cs="Arial"/>
        <w:sz w:val="18"/>
        <w:szCs w:val="18"/>
      </w:rPr>
      <w:t xml:space="preserve">Job Code: </w:t>
    </w:r>
    <w:r w:rsidR="00ED3F70" w:rsidRPr="00ED3F70">
      <w:rPr>
        <w:rFonts w:ascii="Arial" w:hAnsi="Arial" w:cs="Arial"/>
        <w:sz w:val="18"/>
        <w:szCs w:val="18"/>
      </w:rPr>
      <w:t>AAA-Lu177-UK-1210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865" w14:textId="094359B7" w:rsidR="003D5C44" w:rsidRPr="00E5724A" w:rsidRDefault="003D5C44">
    <w:pPr>
      <w:pStyle w:val="Footer"/>
      <w:rPr>
        <w:rFonts w:ascii="Arial" w:hAnsi="Arial" w:cs="Arial"/>
        <w:sz w:val="18"/>
        <w:szCs w:val="18"/>
      </w:rPr>
    </w:pPr>
    <w:r w:rsidRPr="00E5724A">
      <w:rPr>
        <w:rFonts w:ascii="Arial" w:hAnsi="Arial" w:cs="Arial"/>
        <w:sz w:val="18"/>
        <w:szCs w:val="18"/>
      </w:rPr>
      <w:t xml:space="preserve">Date of preparation: </w:t>
    </w:r>
    <w:r w:rsidR="00ED3F70">
      <w:rPr>
        <w:rFonts w:ascii="Arial" w:hAnsi="Arial" w:cs="Arial"/>
        <w:sz w:val="18"/>
        <w:szCs w:val="18"/>
      </w:rPr>
      <w:t>September</w:t>
    </w:r>
    <w:r w:rsidR="008E281D">
      <w:rPr>
        <w:rFonts w:ascii="Arial" w:hAnsi="Arial" w:cs="Arial"/>
        <w:sz w:val="18"/>
        <w:szCs w:val="18"/>
      </w:rPr>
      <w:t xml:space="preserve"> 2021</w:t>
    </w:r>
  </w:p>
  <w:p w14:paraId="5144A2E4" w14:textId="776130B7" w:rsidR="00E5724A" w:rsidRPr="00E5724A" w:rsidRDefault="00E5724A">
    <w:pPr>
      <w:pStyle w:val="Footer"/>
      <w:rPr>
        <w:rFonts w:ascii="Arial" w:hAnsi="Arial" w:cs="Arial"/>
        <w:sz w:val="18"/>
        <w:szCs w:val="18"/>
      </w:rPr>
    </w:pPr>
    <w:r w:rsidRPr="00E5724A">
      <w:rPr>
        <w:rFonts w:ascii="Arial" w:hAnsi="Arial" w:cs="Arial"/>
        <w:sz w:val="18"/>
        <w:szCs w:val="18"/>
      </w:rPr>
      <w:t xml:space="preserve">Job Code: </w:t>
    </w:r>
    <w:r w:rsidR="00ED3F70" w:rsidRPr="00ED3F70">
      <w:rPr>
        <w:rFonts w:ascii="Arial" w:hAnsi="Arial" w:cs="Arial"/>
        <w:sz w:val="18"/>
        <w:szCs w:val="18"/>
      </w:rPr>
      <w:t>AAA-Lu177-UK-1210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0BE4" w14:textId="77777777" w:rsidR="00DA7FA2" w:rsidRDefault="00DA7FA2" w:rsidP="005C5BDD">
      <w:pPr>
        <w:spacing w:after="0" w:line="240" w:lineRule="auto"/>
      </w:pPr>
      <w:r>
        <w:separator/>
      </w:r>
    </w:p>
  </w:footnote>
  <w:footnote w:type="continuationSeparator" w:id="0">
    <w:p w14:paraId="50DC9009" w14:textId="77777777" w:rsidR="00DA7FA2" w:rsidRDefault="00DA7FA2" w:rsidP="005C5BDD">
      <w:pPr>
        <w:spacing w:after="0" w:line="240" w:lineRule="auto"/>
      </w:pPr>
      <w:r>
        <w:continuationSeparator/>
      </w:r>
    </w:p>
  </w:footnote>
  <w:footnote w:type="continuationNotice" w:id="1">
    <w:p w14:paraId="4E4E5A96" w14:textId="77777777" w:rsidR="00DA7FA2" w:rsidRDefault="00DA7F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15D0B"/>
    <w:multiLevelType w:val="hybridMultilevel"/>
    <w:tmpl w:val="953E09C2"/>
    <w:lvl w:ilvl="0" w:tplc="ACB05E7A">
      <w:start w:val="1"/>
      <w:numFmt w:val="bullet"/>
      <w:pStyle w:val="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DD"/>
    <w:rsid w:val="00014B43"/>
    <w:rsid w:val="00044324"/>
    <w:rsid w:val="0004468F"/>
    <w:rsid w:val="000457FC"/>
    <w:rsid w:val="00071949"/>
    <w:rsid w:val="00075702"/>
    <w:rsid w:val="000829AC"/>
    <w:rsid w:val="000833AB"/>
    <w:rsid w:val="00087AB5"/>
    <w:rsid w:val="000A1462"/>
    <w:rsid w:val="000B1957"/>
    <w:rsid w:val="000B7B5A"/>
    <w:rsid w:val="000B7FB2"/>
    <w:rsid w:val="000C321F"/>
    <w:rsid w:val="000C39E3"/>
    <w:rsid w:val="000C470E"/>
    <w:rsid w:val="000D091D"/>
    <w:rsid w:val="000D68C0"/>
    <w:rsid w:val="000F0C1E"/>
    <w:rsid w:val="00110209"/>
    <w:rsid w:val="001315A2"/>
    <w:rsid w:val="00173285"/>
    <w:rsid w:val="0018586F"/>
    <w:rsid w:val="001A7A04"/>
    <w:rsid w:val="001B7BED"/>
    <w:rsid w:val="001C7577"/>
    <w:rsid w:val="001D1901"/>
    <w:rsid w:val="001E01CB"/>
    <w:rsid w:val="001E3D2A"/>
    <w:rsid w:val="001F1E58"/>
    <w:rsid w:val="002057BC"/>
    <w:rsid w:val="00205A1A"/>
    <w:rsid w:val="00212D7F"/>
    <w:rsid w:val="0023410F"/>
    <w:rsid w:val="002440EE"/>
    <w:rsid w:val="00251675"/>
    <w:rsid w:val="00251DCE"/>
    <w:rsid w:val="002603DB"/>
    <w:rsid w:val="00267D7A"/>
    <w:rsid w:val="00284607"/>
    <w:rsid w:val="002853DB"/>
    <w:rsid w:val="002C41F9"/>
    <w:rsid w:val="002E5640"/>
    <w:rsid w:val="002F3E9A"/>
    <w:rsid w:val="00304132"/>
    <w:rsid w:val="00310218"/>
    <w:rsid w:val="003142FF"/>
    <w:rsid w:val="003221A8"/>
    <w:rsid w:val="003245BB"/>
    <w:rsid w:val="0037424C"/>
    <w:rsid w:val="003751E6"/>
    <w:rsid w:val="003D2D2B"/>
    <w:rsid w:val="003D3534"/>
    <w:rsid w:val="003D5C44"/>
    <w:rsid w:val="003E06F8"/>
    <w:rsid w:val="003E3B6F"/>
    <w:rsid w:val="003E73A1"/>
    <w:rsid w:val="004053F1"/>
    <w:rsid w:val="0043702D"/>
    <w:rsid w:val="00446442"/>
    <w:rsid w:val="00463140"/>
    <w:rsid w:val="004B75A6"/>
    <w:rsid w:val="004E6210"/>
    <w:rsid w:val="004F3B4A"/>
    <w:rsid w:val="005325A8"/>
    <w:rsid w:val="00534E1E"/>
    <w:rsid w:val="00542C72"/>
    <w:rsid w:val="00551162"/>
    <w:rsid w:val="00555E5C"/>
    <w:rsid w:val="0056726C"/>
    <w:rsid w:val="005A3D8A"/>
    <w:rsid w:val="005A462E"/>
    <w:rsid w:val="005C5BDD"/>
    <w:rsid w:val="005E1837"/>
    <w:rsid w:val="005F3DB4"/>
    <w:rsid w:val="005F4DD0"/>
    <w:rsid w:val="00614386"/>
    <w:rsid w:val="00634928"/>
    <w:rsid w:val="006564BF"/>
    <w:rsid w:val="00660F3E"/>
    <w:rsid w:val="00694AB7"/>
    <w:rsid w:val="006B1A65"/>
    <w:rsid w:val="006D1024"/>
    <w:rsid w:val="006E4908"/>
    <w:rsid w:val="006F468D"/>
    <w:rsid w:val="00704FBF"/>
    <w:rsid w:val="00706F1E"/>
    <w:rsid w:val="00715AAE"/>
    <w:rsid w:val="00716FB5"/>
    <w:rsid w:val="00733654"/>
    <w:rsid w:val="007572FC"/>
    <w:rsid w:val="00764A78"/>
    <w:rsid w:val="00767779"/>
    <w:rsid w:val="0077227F"/>
    <w:rsid w:val="0077608A"/>
    <w:rsid w:val="00792F40"/>
    <w:rsid w:val="00793231"/>
    <w:rsid w:val="007969E8"/>
    <w:rsid w:val="007A0457"/>
    <w:rsid w:val="007B5A06"/>
    <w:rsid w:val="007C1365"/>
    <w:rsid w:val="007D0E8C"/>
    <w:rsid w:val="007D4E75"/>
    <w:rsid w:val="007E5912"/>
    <w:rsid w:val="008025DC"/>
    <w:rsid w:val="00803D73"/>
    <w:rsid w:val="0081458D"/>
    <w:rsid w:val="00816E50"/>
    <w:rsid w:val="008418E8"/>
    <w:rsid w:val="0087488E"/>
    <w:rsid w:val="00883C16"/>
    <w:rsid w:val="008B0AEF"/>
    <w:rsid w:val="008B51CC"/>
    <w:rsid w:val="008B5255"/>
    <w:rsid w:val="008C22E6"/>
    <w:rsid w:val="008E281D"/>
    <w:rsid w:val="00906D1A"/>
    <w:rsid w:val="009363F9"/>
    <w:rsid w:val="0095023A"/>
    <w:rsid w:val="00951FDE"/>
    <w:rsid w:val="009612B7"/>
    <w:rsid w:val="0096587F"/>
    <w:rsid w:val="009901C9"/>
    <w:rsid w:val="00997811"/>
    <w:rsid w:val="009A326B"/>
    <w:rsid w:val="009B6CC9"/>
    <w:rsid w:val="009C622A"/>
    <w:rsid w:val="009D6535"/>
    <w:rsid w:val="00A30340"/>
    <w:rsid w:val="00A439F0"/>
    <w:rsid w:val="00A55A29"/>
    <w:rsid w:val="00A61C79"/>
    <w:rsid w:val="00A650C9"/>
    <w:rsid w:val="00A67513"/>
    <w:rsid w:val="00A93CCC"/>
    <w:rsid w:val="00AC1828"/>
    <w:rsid w:val="00AC797E"/>
    <w:rsid w:val="00AD2F57"/>
    <w:rsid w:val="00AE3C1B"/>
    <w:rsid w:val="00B33E7E"/>
    <w:rsid w:val="00B33E98"/>
    <w:rsid w:val="00B44456"/>
    <w:rsid w:val="00B61171"/>
    <w:rsid w:val="00B61C00"/>
    <w:rsid w:val="00BA083A"/>
    <w:rsid w:val="00BD600B"/>
    <w:rsid w:val="00BE064C"/>
    <w:rsid w:val="00BE0876"/>
    <w:rsid w:val="00BE2AAA"/>
    <w:rsid w:val="00BF3D78"/>
    <w:rsid w:val="00BF490E"/>
    <w:rsid w:val="00C05DCC"/>
    <w:rsid w:val="00C37148"/>
    <w:rsid w:val="00C50D75"/>
    <w:rsid w:val="00C647E5"/>
    <w:rsid w:val="00C71769"/>
    <w:rsid w:val="00C912ED"/>
    <w:rsid w:val="00CA0598"/>
    <w:rsid w:val="00CA4316"/>
    <w:rsid w:val="00CB6390"/>
    <w:rsid w:val="00CD1E69"/>
    <w:rsid w:val="00CD52BD"/>
    <w:rsid w:val="00CF5620"/>
    <w:rsid w:val="00D03C1D"/>
    <w:rsid w:val="00D13D33"/>
    <w:rsid w:val="00D203FD"/>
    <w:rsid w:val="00D27E5C"/>
    <w:rsid w:val="00D31820"/>
    <w:rsid w:val="00D50581"/>
    <w:rsid w:val="00D948A5"/>
    <w:rsid w:val="00D97280"/>
    <w:rsid w:val="00DA0FCA"/>
    <w:rsid w:val="00DA7FA2"/>
    <w:rsid w:val="00DB0FCE"/>
    <w:rsid w:val="00DE5EC6"/>
    <w:rsid w:val="00DE7EDF"/>
    <w:rsid w:val="00E01B41"/>
    <w:rsid w:val="00E1262C"/>
    <w:rsid w:val="00E227EE"/>
    <w:rsid w:val="00E31E75"/>
    <w:rsid w:val="00E40F55"/>
    <w:rsid w:val="00E44302"/>
    <w:rsid w:val="00E50D84"/>
    <w:rsid w:val="00E5724A"/>
    <w:rsid w:val="00EB07D8"/>
    <w:rsid w:val="00EB1353"/>
    <w:rsid w:val="00EB54F1"/>
    <w:rsid w:val="00EB613B"/>
    <w:rsid w:val="00EB6B32"/>
    <w:rsid w:val="00EB7670"/>
    <w:rsid w:val="00ED3F70"/>
    <w:rsid w:val="00ED6326"/>
    <w:rsid w:val="00EE21F0"/>
    <w:rsid w:val="00EF6919"/>
    <w:rsid w:val="00F07CD1"/>
    <w:rsid w:val="00F105F3"/>
    <w:rsid w:val="00F34E82"/>
    <w:rsid w:val="00F50F38"/>
    <w:rsid w:val="00F61F4B"/>
    <w:rsid w:val="00F73885"/>
    <w:rsid w:val="00FB1151"/>
    <w:rsid w:val="00FB383B"/>
    <w:rsid w:val="00FC00FF"/>
    <w:rsid w:val="00FD3361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C55BF"/>
  <w15:docId w15:val="{8C378126-C262-4916-B1F0-E8F85D5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ListParagraph"/>
    <w:link w:val="Level1Char"/>
    <w:qFormat/>
    <w:rsid w:val="005C5BDD"/>
    <w:pPr>
      <w:numPr>
        <w:numId w:val="1"/>
      </w:numPr>
      <w:spacing w:before="120" w:after="0" w:line="240" w:lineRule="auto"/>
      <w:contextualSpacing w:val="0"/>
    </w:pPr>
    <w:rPr>
      <w:rFonts w:ascii="Arial" w:hAnsi="Arial" w:cs="Arial"/>
    </w:rPr>
  </w:style>
  <w:style w:type="character" w:customStyle="1" w:styleId="Level1Char">
    <w:name w:val="Level 1 Char"/>
    <w:basedOn w:val="DefaultParagraphFont"/>
    <w:link w:val="Level1"/>
    <w:rsid w:val="005C5BDD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C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BDD"/>
  </w:style>
  <w:style w:type="paragraph" w:styleId="Footer">
    <w:name w:val="footer"/>
    <w:basedOn w:val="Normal"/>
    <w:link w:val="FooterChar"/>
    <w:uiPriority w:val="99"/>
    <w:unhideWhenUsed/>
    <w:rsid w:val="005C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BDD"/>
  </w:style>
  <w:style w:type="paragraph" w:styleId="Bibliography">
    <w:name w:val="Bibliography"/>
    <w:basedOn w:val="Normal"/>
    <w:next w:val="Normal"/>
    <w:uiPriority w:val="37"/>
    <w:semiHidden/>
    <w:unhideWhenUsed/>
    <w:rsid w:val="00634928"/>
  </w:style>
  <w:style w:type="character" w:styleId="CommentReference">
    <w:name w:val="annotation reference"/>
    <w:basedOn w:val="DefaultParagraphFont"/>
    <w:uiPriority w:val="99"/>
    <w:semiHidden/>
    <w:unhideWhenUsed/>
    <w:rsid w:val="00997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8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1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EB54F1"/>
    <w:pPr>
      <w:spacing w:before="120" w:after="0"/>
    </w:pPr>
    <w:rPr>
      <w:rFonts w:ascii="Arial" w:eastAsia="Times New Roman" w:hAnsi="Arial" w:cs="Times New Roman"/>
      <w:sz w:val="20"/>
    </w:rPr>
  </w:style>
  <w:style w:type="character" w:customStyle="1" w:styleId="BodytextChar">
    <w:name w:val="Body text Char"/>
    <w:link w:val="BodyText1"/>
    <w:rsid w:val="00EB54F1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AA">
      <a:dk1>
        <a:srgbClr val="707173"/>
      </a:dk1>
      <a:lt1>
        <a:srgbClr val="FFFFFF"/>
      </a:lt1>
      <a:dk2>
        <a:srgbClr val="A1D862"/>
      </a:dk2>
      <a:lt2>
        <a:srgbClr val="2E3192"/>
      </a:lt2>
      <a:accent1>
        <a:srgbClr val="A1D862"/>
      </a:accent1>
      <a:accent2>
        <a:srgbClr val="E47923"/>
      </a:accent2>
      <a:accent3>
        <a:srgbClr val="009BDE"/>
      </a:accent3>
      <a:accent4>
        <a:srgbClr val="A3ABB1"/>
      </a:accent4>
      <a:accent5>
        <a:srgbClr val="FFDB61"/>
      </a:accent5>
      <a:accent6>
        <a:srgbClr val="D8D7E1"/>
      </a:accent6>
      <a:hlink>
        <a:srgbClr val="F9AE00"/>
      </a:hlink>
      <a:folHlink>
        <a:srgbClr val="A2D45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Williams</dc:creator>
  <cp:lastModifiedBy>Lynsey Marriott</cp:lastModifiedBy>
  <cp:revision>2</cp:revision>
  <dcterms:created xsi:type="dcterms:W3CDTF">2021-08-24T09:01:00Z</dcterms:created>
  <dcterms:modified xsi:type="dcterms:W3CDTF">2021-08-24T09:01:00Z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a0d41b-3816-4c83-aa40-c3f27fcb97e7_Enabled">
    <vt:lpwstr>true</vt:lpwstr>
  </property>
  <property fmtid="{D5CDD505-2E9C-101B-9397-08002B2CF9AE}" pid="3" name="MSIP_Label_80a0d41b-3816-4c83-aa40-c3f27fcb97e7_SetDate">
    <vt:lpwstr>2020-08-17T06:49:46Z</vt:lpwstr>
  </property>
  <property fmtid="{D5CDD505-2E9C-101B-9397-08002B2CF9AE}" pid="4" name="MSIP_Label_80a0d41b-3816-4c83-aa40-c3f27fcb97e7_Method">
    <vt:lpwstr>Standard</vt:lpwstr>
  </property>
  <property fmtid="{D5CDD505-2E9C-101B-9397-08002B2CF9AE}" pid="5" name="MSIP_Label_80a0d41b-3816-4c83-aa40-c3f27fcb97e7_Name">
    <vt:lpwstr>INC10788229</vt:lpwstr>
  </property>
  <property fmtid="{D5CDD505-2E9C-101B-9397-08002B2CF9AE}" pid="6" name="MSIP_Label_80a0d41b-3816-4c83-aa40-c3f27fcb97e7_SiteId">
    <vt:lpwstr>b98f0765-0764-4153-ac9c-4713ff722c48</vt:lpwstr>
  </property>
  <property fmtid="{D5CDD505-2E9C-101B-9397-08002B2CF9AE}" pid="7" name="MSIP_Label_80a0d41b-3816-4c83-aa40-c3f27fcb97e7_ActionId">
    <vt:lpwstr>1b059db8-68a8-4491-8513-c93dfa82719a</vt:lpwstr>
  </property>
  <property fmtid="{D5CDD505-2E9C-101B-9397-08002B2CF9AE}" pid="8" name="MSIP_Label_80a0d41b-3816-4c83-aa40-c3f27fcb97e7_ContentBits">
    <vt:lpwstr>0</vt:lpwstr>
  </property>
</Properties>
</file>